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3BC19" w14:textId="77777777" w:rsidR="0002544A" w:rsidRPr="0002544A" w:rsidRDefault="0002544A" w:rsidP="0002544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inherit" w:eastAsia="Times New Roman" w:hAnsi="inherit" w:cs="Helvetica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МІНІСТЕРСТВО ОСВІТИ І НАУКИ УКРАЇНИ</w:t>
      </w:r>
    </w:p>
    <w:p w14:paraId="04B40465" w14:textId="77777777" w:rsidR="0002544A" w:rsidRPr="0002544A" w:rsidRDefault="0002544A" w:rsidP="0002544A">
      <w:pPr>
        <w:shd w:val="clear" w:color="auto" w:fill="FFFFFF"/>
        <w:spacing w:after="30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НАКАЗ</w:t>
      </w:r>
    </w:p>
    <w:p w14:paraId="09194D18" w14:textId="77777777" w:rsidR="0002544A" w:rsidRPr="0002544A" w:rsidRDefault="0002544A" w:rsidP="0002544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inherit" w:eastAsia="Times New Roman" w:hAnsi="inherit" w:cs="Helvetica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від</w:t>
      </w:r>
      <w:proofErr w:type="spellEnd"/>
      <w:r w:rsidRPr="0002544A">
        <w:rPr>
          <w:rFonts w:ascii="inherit" w:eastAsia="Times New Roman" w:hAnsi="inherit" w:cs="Helvetica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09.09.2022 р. № 805</w:t>
      </w:r>
    </w:p>
    <w:p w14:paraId="2AAF4040" w14:textId="77777777" w:rsidR="0002544A" w:rsidRPr="0002544A" w:rsidRDefault="0002544A" w:rsidP="0002544A">
      <w:pPr>
        <w:shd w:val="clear" w:color="auto" w:fill="FFFFFF"/>
        <w:spacing w:after="300" w:line="240" w:lineRule="auto"/>
        <w:jc w:val="center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Зареєстровано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Міністерстві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юстиції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br/>
        <w:t xml:space="preserve">21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грудня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2022 р. за № 1649/38985</w:t>
      </w:r>
    </w:p>
    <w:p w14:paraId="2040A960" w14:textId="77777777" w:rsidR="0002544A" w:rsidRPr="0002544A" w:rsidRDefault="0002544A" w:rsidP="0002544A">
      <w:pPr>
        <w:shd w:val="clear" w:color="auto" w:fill="FFFFFF"/>
        <w:spacing w:before="199" w:after="120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color w:val="212121"/>
          <w:kern w:val="0"/>
          <w:sz w:val="47"/>
          <w:szCs w:val="47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212121"/>
          <w:kern w:val="0"/>
          <w:sz w:val="47"/>
          <w:szCs w:val="47"/>
          <w:lang w:eastAsia="ru-RU"/>
          <w14:ligatures w14:val="none"/>
        </w:rPr>
        <w:t xml:space="preserve">Про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47"/>
          <w:szCs w:val="47"/>
          <w:lang w:eastAsia="ru-RU"/>
          <w14:ligatures w14:val="none"/>
        </w:rPr>
        <w:t>затвердження</w:t>
      </w:r>
      <w:proofErr w:type="spellEnd"/>
      <w:r w:rsidRPr="0002544A">
        <w:rPr>
          <w:rFonts w:ascii="Helvetica" w:eastAsia="Times New Roman" w:hAnsi="Helvetica" w:cs="Helvetica"/>
          <w:color w:val="212121"/>
          <w:kern w:val="0"/>
          <w:sz w:val="47"/>
          <w:szCs w:val="47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47"/>
          <w:szCs w:val="47"/>
          <w:lang w:eastAsia="ru-RU"/>
          <w14:ligatures w14:val="none"/>
        </w:rPr>
        <w:t>Положення</w:t>
      </w:r>
      <w:proofErr w:type="spellEnd"/>
      <w:r w:rsidRPr="0002544A">
        <w:rPr>
          <w:rFonts w:ascii="Helvetica" w:eastAsia="Times New Roman" w:hAnsi="Helvetica" w:cs="Helvetica"/>
          <w:color w:val="212121"/>
          <w:kern w:val="0"/>
          <w:sz w:val="47"/>
          <w:szCs w:val="47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47"/>
          <w:szCs w:val="47"/>
          <w:lang w:eastAsia="ru-RU"/>
          <w14:ligatures w14:val="none"/>
        </w:rPr>
        <w:t>атестацію</w:t>
      </w:r>
      <w:proofErr w:type="spellEnd"/>
      <w:r w:rsidRPr="0002544A">
        <w:rPr>
          <w:rFonts w:ascii="Helvetica" w:eastAsia="Times New Roman" w:hAnsi="Helvetica" w:cs="Helvetica"/>
          <w:color w:val="212121"/>
          <w:kern w:val="0"/>
          <w:sz w:val="47"/>
          <w:szCs w:val="47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47"/>
          <w:szCs w:val="47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212121"/>
          <w:kern w:val="0"/>
          <w:sz w:val="47"/>
          <w:szCs w:val="47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47"/>
          <w:szCs w:val="47"/>
          <w:lang w:eastAsia="ru-RU"/>
          <w14:ligatures w14:val="none"/>
        </w:rPr>
        <w:t>працівників</w:t>
      </w:r>
      <w:proofErr w:type="spellEnd"/>
    </w:p>
    <w:p w14:paraId="6BAE7E58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частини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п’ятої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статті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50 Закону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статті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32 Закону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дошкільну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частини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першої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статті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48 Закону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повну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загальну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середню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статті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25 Закону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позашкільну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частини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четвертої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статті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45 Закону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професійно-технічну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частини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першої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пункту 1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статті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24,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частини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п’ятої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шостої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статті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59 Закону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фахову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передвищу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”, пункту 7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статті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55 Закону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вищу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 та з метою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стимулювання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безперервного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підвищення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майстерності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</w:p>
    <w:p w14:paraId="2031F832" w14:textId="77777777" w:rsidR="0002544A" w:rsidRPr="0002544A" w:rsidRDefault="0002544A" w:rsidP="0002544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inherit" w:eastAsia="Times New Roman" w:hAnsi="inherit" w:cs="Helvetica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НАКАЗУЮ:</w:t>
      </w:r>
    </w:p>
    <w:p w14:paraId="380B6451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Затвердити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додається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8143C36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таким,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втратив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чинність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наказ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Міністерства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науки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06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жовтня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2010 року № 930 “Про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затвердження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Типового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зареєстрований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Міністерстві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юстиції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14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грудня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2010 року за № 1255/18550.</w:t>
      </w:r>
    </w:p>
    <w:p w14:paraId="2B56B3B8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Установити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83953FD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набрання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чинності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наказом, є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дійсними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згідно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затвердженим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наказом;</w:t>
      </w:r>
    </w:p>
    <w:p w14:paraId="0A57E8F4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2)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були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прийняті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посади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набрання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чинності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наказом,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продовжують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працювати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закладах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вищу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спеціальностями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навчальним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предметам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інтегрованим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курсам,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дисциплінам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вони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викладають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діяльності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посадою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вважаються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такими,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посаді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атестуються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займаній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посаді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як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такі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69909C86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3)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набрання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чинності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наказом,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успішно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пройшли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сертифікацію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сертифікати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(один раз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протягом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сертифікату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проходження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сертифікації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зараховується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як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проходження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чергової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позачергової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із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наступної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збереженням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6BD1B03F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4)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мінімальний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загальний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обсяг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загальна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тривалість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підвищення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крім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загальної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середньої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професійно-технічної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необхідний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проходження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становить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менше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120 годин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4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кредити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ЄКТС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упродовж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п’яти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66634C7B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5)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мінімальний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загальний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обсяг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загальна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тривалість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підвищення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загальної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середньої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професійно-технічної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необхідний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проходження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становить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менше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150 годин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5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кредитів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ЄКТС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упродовж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п’яти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A7A0498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4. Директорату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дошкільної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шкільної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позашкільної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інклюзивної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Єресько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О.)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забезпечити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наказу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державну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реєстрацію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Міністерства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юстиції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60F0301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5. Департаменту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забезпечення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документообігу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контролю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інформаційних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технологій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Єрко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І.)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зробити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відмітку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 справах</w:t>
      </w:r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архіву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8F2F14B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6.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Цей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наказ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набирає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чинності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01 вересня 2023 року,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крім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підпункту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3 пункту 3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наказу,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набирає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чинності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дня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офіційного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опублікування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6B1F7900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7. Контроль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виконанням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наказу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покласти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заступника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Міністра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Рогову В.</w:t>
      </w:r>
    </w:p>
    <w:p w14:paraId="3171DC07" w14:textId="77777777" w:rsidR="0002544A" w:rsidRPr="0002544A" w:rsidRDefault="0002544A" w:rsidP="0002544A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Міністр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Сергій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ШКАРЛЕТ</w:t>
      </w:r>
    </w:p>
    <w:p w14:paraId="7812C916" w14:textId="77777777" w:rsidR="0002544A" w:rsidRPr="0002544A" w:rsidRDefault="0002544A" w:rsidP="0002544A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ПОГОДЖЕНО:</w:t>
      </w:r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  <w:t xml:space="preserve">Перший заступник </w:t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Міністра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цифрової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трансформації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України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Олексій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ВИСКУБ</w:t>
      </w:r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Керівник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Секретаріату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  <w:t xml:space="preserve">СПО </w:t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сторони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роботодавців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  <w:t xml:space="preserve">на </w:t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національному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рівні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  <w:t>Р. ІЛЛІЧОВ</w:t>
      </w:r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  <w:t xml:space="preserve">Голова </w:t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Державної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регуляторної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служби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України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Олексій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КУЧЕР</w:t>
      </w:r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  <w:t>Голова СПО</w:t>
      </w:r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об’єднань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профспілок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Григорій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ОСОВИЙ</w:t>
      </w:r>
    </w:p>
    <w:p w14:paraId="03B95B50" w14:textId="77777777" w:rsidR="0002544A" w:rsidRPr="0002544A" w:rsidRDefault="0002544A" w:rsidP="0002544A">
      <w:pPr>
        <w:shd w:val="clear" w:color="auto" w:fill="FFFFFF"/>
        <w:spacing w:after="30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ЗАТВЕРДЖЕНО</w:t>
      </w: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br/>
        <w:t xml:space="preserve">Наказ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Міністерства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науки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br/>
        <w:t>09.09.2022 року № 805</w:t>
      </w:r>
    </w:p>
    <w:p w14:paraId="78F0CB86" w14:textId="77777777" w:rsidR="0002544A" w:rsidRPr="0002544A" w:rsidRDefault="0002544A" w:rsidP="0002544A">
      <w:pPr>
        <w:shd w:val="clear" w:color="auto" w:fill="FFFFFF"/>
        <w:spacing w:before="240" w:after="12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>ПОЛОЖЕННЯ</w:t>
      </w:r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br/>
        <w:t xml:space="preserve">про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>атестацію</w:t>
      </w:r>
      <w:proofErr w:type="spellEnd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>працівників</w:t>
      </w:r>
      <w:proofErr w:type="spellEnd"/>
    </w:p>
    <w:p w14:paraId="48BCCE1D" w14:textId="77777777" w:rsidR="0002544A" w:rsidRPr="0002544A" w:rsidRDefault="0002544A" w:rsidP="0002544A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 xml:space="preserve">I.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>Загальні</w:t>
      </w:r>
      <w:proofErr w:type="spellEnd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>положення</w:t>
      </w:r>
      <w:proofErr w:type="spellEnd"/>
    </w:p>
    <w:p w14:paraId="0E3C00E2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порядок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як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системи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заходів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спрямованих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всебічне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комплексне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оцінювання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їхньої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діяльності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далі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2EFAA97B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терміни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вживаються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значеннях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визначених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Цивільним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кодексом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Законами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”, “Про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дошкільну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”, “Про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повну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загальну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середню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”, “Про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позашкільну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”, “Про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професійно-технічну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”, “Про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фахову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передвищу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”, “Про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вищу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”, Порядком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підвищення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науково-педагогічних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затвердженого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постановою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Кабінету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Міністрів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21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серпня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2019 року № 800,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іншими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нормативно-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правовими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актами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сфері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6144A32E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поширюється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здійснюють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діяльність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посади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віднесено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згідно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Переліком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посад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науково-педагогічних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затвердженого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постановою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Кабінету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Міністрів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14 червня 2000 року № 963.</w:t>
      </w:r>
    </w:p>
    <w:p w14:paraId="21351133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поширюється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установ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,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далі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атестуються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вимог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Закону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розвиток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”, а також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спеціалізованої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забезпечують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здобуття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фахових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компетентностей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спеціалізованої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крім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наукових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ліцеїв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0BE1A42D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3. За результатами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незалежно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обсягу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навантаження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кількості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навчальних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предметів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інтегрованих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курсів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дисциплін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встановлюється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займаній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посаді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та:</w:t>
      </w:r>
    </w:p>
    <w:p w14:paraId="6A64133C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раніше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1C42CA2D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2)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раніше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наявності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4952F0F8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посади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передбачають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результатами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займаній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посаді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 порядку</w:t>
      </w:r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визначеному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законодавством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встановлюється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тарифний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розряд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DF34505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за результатами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визначаються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Переліку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затвердженого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постановою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Кабінету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Міністрів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23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грудня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2015 року № 1109.</w:t>
      </w:r>
    </w:p>
    <w:p w14:paraId="48AB8C02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4.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обов’язковою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78271598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бути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черговою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позачерговою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проходить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чергову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менше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одного разу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п’ять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окрім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випадків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визначених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пунктом 7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III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E746581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проводиться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раніше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через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після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призначення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 посаду</w:t>
      </w:r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266ADF4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повинна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проводитися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дотриманням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академічної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доброчесності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82C23EF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5.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Позачергова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проводиться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ініціативою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06B6DCE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–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зниження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діяльності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2460337B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фахової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передвищої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вищої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–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зниження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діяльності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структурного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такого закладу.</w:t>
      </w:r>
    </w:p>
    <w:p w14:paraId="19A3BFA4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виявлення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результатами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інституційного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аудиту,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законодавства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низької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діяльності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структурного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проводиться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позачергова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9FBB4C5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ініціативою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органу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управління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сфері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);</w:t>
      </w:r>
    </w:p>
    <w:p w14:paraId="0852BA45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структурного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фахової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передвищої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вищої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ініціативою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закладу,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структурні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68C08E3B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6.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Позачергова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рівень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стаж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посадах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вимогам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визначених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 пунктах</w:t>
      </w:r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8, 9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проводиться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ініціативою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однією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таких умов:</w:t>
      </w:r>
    </w:p>
    <w:p w14:paraId="3E1D4ADF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переможцем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лауреатом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фінальних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етапів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всеукраїнських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міжнародних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фахових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конкурсів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04CE13E6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2)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наявності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освітньо-наукового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/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освітньо-творчого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наукового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ступеня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70DE0B95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3)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успішного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проходження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сертифікації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116F59B4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7.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Міжатестаційний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період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проміжок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часу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проходженням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попередньої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наступної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бути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меншим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три роки,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крім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випадків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позачергової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ініціативи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Час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перебування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соціальних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відпустках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навчання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 закладах</w:t>
      </w:r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вищої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а також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період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переноситься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міжатестаційного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періоду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включаються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77D10A8E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8.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Підвищення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проводиться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міжатестаційний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період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законодавства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є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необхідною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умовою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98EE452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Загальний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обсяг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загальна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тривалість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підвищення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сумарно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останні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5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перед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атестацією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незалежно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суб’єкта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підвищення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виду,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форми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напряму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пройшов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підвищення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69D9E5A5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9.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працівникові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рівень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фаховий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молодший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бакалавр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освітньо-кваліфікаційний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lastRenderedPageBreak/>
        <w:t>рівень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молодший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молодший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бакалавр, бакалавр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магістр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освітньо-кваліфікаційний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рівень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674BCC32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другої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працівникові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рівень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молодший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бакалавр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освітньо-кваліфікаційний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рівень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молодший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), бакалавр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магістр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освітньо-кваліфікаційний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рівень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(для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дошкільної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також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освітньо-професійний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ступінь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фаховий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молодший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бакалавр), стаж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посадах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менше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три роки.</w:t>
      </w:r>
    </w:p>
    <w:p w14:paraId="61E59186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першої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працівникові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рівень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бакалавр,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магістр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освітньо-кваліфікаційний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рівень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(для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дошкільної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також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освітньо-професійний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ступінь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фаховий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молодший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бакалавр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ступінь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вищої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молодший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бакалавр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освітньо-кваліфікаційний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рівень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молодший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), стаж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посадах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менше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п’ять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F0CA915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вищої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працівникові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рівень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магістр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освітньо-кваліфікаційний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рівень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), стаж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посадах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менше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сім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63BF5794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освітньо-науковий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/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освітньо-творчий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науковий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ступінь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за результатами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без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дотримання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послідовності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бути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вищої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”,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умови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наявності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стажу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посадах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менше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один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E8FB783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Особи,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але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стаж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одній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із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галузей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економіки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крім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працюють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посадах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атестуються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як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без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дотримання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послідовності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2A7FE1E6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“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другої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наявності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менше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двох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стажу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070A0F12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“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першої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 –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менше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п’яти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27F0E933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“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вищої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 –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менше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семи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602F2430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10. За результатами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присвоюються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підтверджуються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першої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”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/”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вищої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зокрема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0B8C3D67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упроваджують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поширюють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методики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компетентнісного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навчання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нові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технології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надають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підтримку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допомогу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здійснюють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супервізію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);</w:t>
      </w:r>
    </w:p>
    <w:p w14:paraId="1E1C447A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беруть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участь 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 процедурах</w:t>
      </w:r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заходах,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пов’язаних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із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забезпеченням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впровадженням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інновацій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новацій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технологій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системі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3D7BCEAB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були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переможцями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лауреатами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всеукраїнських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міжнародних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фахових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конкурсів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51B44180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підготували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переможців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всеукраїнських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міжнародних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олімпіад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конкурсів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змагань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тощо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B419B01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вихователь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-методист”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присвоюватися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музичним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інструкторам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фізичної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культури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дошкільних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6EE41E1F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11.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як правило,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присвоюють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послідовно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40648445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Наявність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освітньо-кваліфікаційного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документом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Наявність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освітньо-наукового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/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освітньо-творчого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наукового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ступеня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дипломом.</w:t>
      </w:r>
    </w:p>
    <w:p w14:paraId="6B333264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Наявність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стажу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посадах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особової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справи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трудової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книжки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відомостей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трудову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діяльність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із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реєстру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застрахованих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осіб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Державного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реєстру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загальнообов’язкового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державного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соціального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страхування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інших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законодавства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підтверджують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стаж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посадах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визначені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Переліком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посад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науково-педагогічних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затвердженим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постановою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Кабінету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Міністрів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14 червня 2000 року № 963.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Посадові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обов’язки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визначаються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посадовою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інструкцією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62112AD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12.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навантаження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кількох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предметів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атестуються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того предмета,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викладають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спеціальністю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випадку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поширюється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все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навантаження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Необхідною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умовою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підвищення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навчальних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предметів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інтегрованих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курсів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обов’язкові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вивчення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навчального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плану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DD6437F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працюють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сумісництвом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умовах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строкового трудового договору,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атестуються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загальних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підставах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7FE8585E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обіймають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різні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посади в одному і тому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різних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закладах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зокрема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викладають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предмети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здійснюють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іншу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роботу),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атестуються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кожною з посад.</w:t>
      </w:r>
    </w:p>
    <w:p w14:paraId="0F930A4F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працюють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різних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закладах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однією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тією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самою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посадою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викладають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один предмет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інтегрований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курс),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атестуються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основним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місцем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випадку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тарифний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розряд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поширюються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все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навантаження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всіма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місцями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посадами.</w:t>
      </w:r>
    </w:p>
    <w:p w14:paraId="16FF2B6E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lastRenderedPageBreak/>
        <w:t>Якщо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міжатестаційний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період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довантажено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годинами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інших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предметів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інтегрованих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курсів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), то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поширюється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все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навантаження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чергової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631CD50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структурного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заступник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структурного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працюють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посаді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передбачає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здійснення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діяльності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наявність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навантаження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цією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посадою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 порядку</w:t>
      </w:r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визначеному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4F9E524C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структурних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заступникам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іншим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посади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передбачають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за результатами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встановлюється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займаній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посаді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встановлюється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тарифний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розряд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”.</w:t>
      </w:r>
    </w:p>
    <w:p w14:paraId="07C81E75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13.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Успішне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проходження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сертифікації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зараховується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як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проходження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а також є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підставою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/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проводиться без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урахування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тривалості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міжатестаційного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періоду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без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дотримання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умов,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визначених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пунктами 8, 9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без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будь-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заходів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пов’язаних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із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вивченням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оцінюванням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діяльності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компетентностей.</w:t>
      </w:r>
    </w:p>
    <w:p w14:paraId="234510C0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Зарахування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сертифікації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здійснюється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один раз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протягом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строку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сертифіката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час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чергової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позачергової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проводиться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ініціативи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BA0499A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14.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чергової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ним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зберігаються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3F346719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переходять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 роботу</w:t>
      </w:r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одного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іншого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а також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інші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посади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перервали роботу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посаді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незалежно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тривалості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перерви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зберігаються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результатами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останньої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863EEDD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таких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здійснюється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пізніше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через два роки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після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прийняття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 роботу</w:t>
      </w:r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CCF8AC0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15. Особи,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призначені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посади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частини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п’ятої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статті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58 Закону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” та/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пройшли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інтернатуру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установленому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законодавством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порядку, 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продовження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посадах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атестуються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упродовж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другого року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але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раніше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через один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після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призначення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 посаду</w:t>
      </w:r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110AA1E6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16.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строки,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визначені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припадають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вихідний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неробочий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святковий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день, то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строк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починається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першого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ним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робочого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дня.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випадку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настання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обставин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об’єктивно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унеможливлюють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діяльність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атестуються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перешкоджають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перебіг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строків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встановлених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припиняється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час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таких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обставин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lastRenderedPageBreak/>
        <w:t>відновлюється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після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припинення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обставин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стали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перешкодою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FF1A63B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17.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допускається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створення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перешкод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проходження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необґрунтована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відмова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встановленні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тарифного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розряду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4830FAE" w14:textId="77777777" w:rsidR="0002544A" w:rsidRPr="0002544A" w:rsidRDefault="0002544A" w:rsidP="0002544A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 xml:space="preserve">II.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>Створення</w:t>
      </w:r>
      <w:proofErr w:type="spellEnd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 xml:space="preserve">, склад та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>повноваження</w:t>
      </w:r>
      <w:proofErr w:type="spellEnd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>атестаційних</w:t>
      </w:r>
      <w:proofErr w:type="spellEnd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>комісій</w:t>
      </w:r>
      <w:proofErr w:type="spellEnd"/>
    </w:p>
    <w:p w14:paraId="42FD75C8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1. 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щорічно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пізніше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20 вересня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створюються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109C3EE5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створюються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закладах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структурних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підрозділах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працює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більше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15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525845F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створюються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органах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управління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сфері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сільських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селищних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міських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рад, закладах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професійно-технічної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фахової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передвищої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вищої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структурні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1B541EA9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III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створюються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Міністерстві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науки,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молоді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спорту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Автономної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Республіки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Крим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органах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управління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сфері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обласних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Київської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Севастопольської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міських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державних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адміністрацій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528ED53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Центральні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органи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виконавчої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влади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сфері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управління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перебувають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можуть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створювати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власні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II – III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E2537E9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відсутності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таких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їхні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функції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визначені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виконують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II – III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органів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управління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сфері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місцезнаходженням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суб’єктів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діяльності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44DEA64F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створюються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наказом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структурного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органу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управління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сфері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персональний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склад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призначаються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голова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секретар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Кількість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членів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бути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менше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п’ять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осіб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C9EF52C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залучаються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представники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первинних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територіальних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профспілкових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організацій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(до 2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осіб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згодою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із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правом голосу.</w:t>
      </w:r>
    </w:p>
    <w:p w14:paraId="693075F8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Представники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профспілкових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організацій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згодою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залучаються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головою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уповноваженого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профспілкового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органу (за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наявності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територіальному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декількох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профспілкових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організацій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–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спільного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представницького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органу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профспілок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32A94E6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бути залучена особа, яка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Закону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запобігання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корупції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 є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близькою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особою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є особою, яка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конфлікт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інтересів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139EDAF4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3. Головою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(заступник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структурного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0427A3D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Головою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II, III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(заступник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органу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управління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сфері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вищої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структурні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забезпечують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здобуття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загальної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середньої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професійно-технічної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фахової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передвищої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1585E76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випадку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відсутності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голови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обрати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головуючим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іншого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члена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крім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секретаря.</w:t>
      </w:r>
    </w:p>
    <w:p w14:paraId="562CA8B6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(заступник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структурного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органу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управління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сфері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можуть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головувати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проходження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ними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A5131C7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У такому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члени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обирають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особу, яка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виконує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обов’язки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голови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визначені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пунктом 5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повноваження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поширюються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 роботу</w:t>
      </w:r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завершення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(заступника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структурного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органу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управління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сфері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головою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67EF42BB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4.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повноважною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умови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присутності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менше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двох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третин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складу.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приймають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шляхом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голосування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простою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більшістю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голосів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розподілу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голосів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“за” і “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інтересах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60DFFCEA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Особи,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входять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 складу</w:t>
      </w:r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беруть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участі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голосуванні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щодо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себе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проходження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ними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пункту 3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BF675F4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Порядок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голосування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відкрито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таємно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фіксується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протоколі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917B60F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5. Голова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проводить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бере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участь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голосуванні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час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прийняття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підписує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протоколи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листи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6DB01B90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наявності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обставин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об’єктивно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унеможливлюють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очно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воєнний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стан,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надзвичайна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ситуація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карантинні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обмеження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тощо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), голова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прийняти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режимі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відеоконференцзв’язку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181E5368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6.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Секретар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5E728C6E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реєструє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зберігає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розгляду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час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розгляду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комісією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6B823505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організовує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роботу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веде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підписує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протоколи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7D38F195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lastRenderedPageBreak/>
        <w:t>оформлює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підписує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листи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0C98C935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повідомляє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місце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час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запрошення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);</w:t>
      </w:r>
    </w:p>
    <w:p w14:paraId="5C6BB544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забезпечує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оприлюднення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інформації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діяльність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шляхом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розміщення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офіційному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вебсайті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структурного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органу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управління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сфері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B15E8B1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7.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розглядає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крім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структурного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встановлює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вимогам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законодавства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вживає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заходів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щодо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перевірки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достовірності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(за потреби).</w:t>
      </w:r>
    </w:p>
    <w:p w14:paraId="028C92DD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про:</w:t>
      </w:r>
    </w:p>
    <w:p w14:paraId="65EAE37A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структурного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займаним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посадам;</w:t>
      </w:r>
    </w:p>
    <w:p w14:paraId="7F25AC31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відмову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такому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634BC1B8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8.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6C539BAA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розглядає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зокрема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підпорядкованих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структурних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встановлює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вимогам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законодавства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вживає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заходів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щодо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перевірки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достовірності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(за потреби);</w:t>
      </w:r>
    </w:p>
    <w:p w14:paraId="5E87B135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атестує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працює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менше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15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16A62030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розглядає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апеляції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7E2D946C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про:</w:t>
      </w:r>
    </w:p>
    <w:p w14:paraId="35A3DBE9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підпорядкованих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структурних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працює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менше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15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займаним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посадам;</w:t>
      </w:r>
    </w:p>
    <w:p w14:paraId="6A384A0A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відмову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такому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);</w:t>
      </w:r>
    </w:p>
    <w:p w14:paraId="0C7D5E04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підпорядкованих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структурних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займаним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посадам;</w:t>
      </w:r>
    </w:p>
    <w:p w14:paraId="408C8703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відмову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такому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підпорядкованих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структурних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викладають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навчальні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предмети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інтегровані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курси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6A244379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9.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III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0C3D5A71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розглядає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підпорядкованих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Міністерству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науки,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молоді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спорту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Автономної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Республіки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Крим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обласним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Київській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Севастопольській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міським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державним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адміністраціям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встановлює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вимогам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законодавства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вживає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заходів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щодо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перевірки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достовірності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(за потреби);</w:t>
      </w:r>
    </w:p>
    <w:p w14:paraId="28C36097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розглядає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апеляції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6A5D5BE4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підпорядкованих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Міністерству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науки,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молоді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спорту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Автономної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Республіки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Крим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обласним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Київській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Севастопольській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міським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державним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адміністраціям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1A9B2E45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щодо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встановлення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невідповідності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зокрема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займаним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посадам,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відмову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такому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4E4ACAE2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III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про:</w:t>
      </w:r>
    </w:p>
    <w:p w14:paraId="26561453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підпорядкованих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структурних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займаним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посадам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4F566DEC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відмову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такому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підпорядкованих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Міністерству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науки,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молоді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спорту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Автономної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Республіки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Крим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обласним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Київській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Севастопольській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міським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державним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адміністраціям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41C3D24C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10.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відмови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наявної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першої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“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спеціаліст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вищої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” і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нижчої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комісією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приймається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відмову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раніше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1067861A" w14:textId="77777777" w:rsidR="0002544A" w:rsidRPr="0002544A" w:rsidRDefault="0002544A" w:rsidP="0002544A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 xml:space="preserve">III. Порядок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>атестації</w:t>
      </w:r>
      <w:proofErr w:type="spellEnd"/>
    </w:p>
    <w:p w14:paraId="6E905AC6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1. 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чергової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10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жовтня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поточного року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повинні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32F75B23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скласти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затвердити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список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підлягають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черговій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наступному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календарному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році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строки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графік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56701545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визначити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строк та адресу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електронної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пошти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електронній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формі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24ECE3D1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випадку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відсутності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підлягає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черговій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 списку</w:t>
      </w:r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заявою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пізніше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20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грудня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поточного календарного </w:t>
      </w: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року,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включає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списків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підлягають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черговій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EEC840C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2. 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позачергової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20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грудня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заява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формою,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наведеною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додатку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1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42927FE6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затверджує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окремий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список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підлягають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позачерговій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строки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ними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потреби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внести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графіка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своїх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9417599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3.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наявності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обставин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унеможливлюють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діяльність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атестуються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перешкоджають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перебіг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строків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встановлених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припиняється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відновлюється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після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усунення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обставин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стали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перешкодою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F49164C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4.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Інформація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визначена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пунктами 1, 2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оприлюднюється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вебсайті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структурного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органу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управління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сфері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пізніше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п’яти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робочих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дня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прийняття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комісією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1E91F6D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Протягом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п’яти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робочих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дня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оприлюднення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інформації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подати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думку,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свідчать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майстерність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досягнення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7676CD2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зберігаються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особовій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справі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яка створена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суб’єкті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освітньої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діяльності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структурному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органі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управління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сфері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зберігається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особова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справа.</w:t>
      </w:r>
    </w:p>
    <w:p w14:paraId="25C66E10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5.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подати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паперовій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електронній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формі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Електронний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варіант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(формат РВЕ,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кожен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документ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окремому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файлі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надсилається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 адресу</w:t>
      </w:r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електронної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пошти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електронній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формі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48791103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реєструються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секретарем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Забороняється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безпідставно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відмовляти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прийнятті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вимогам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зазначеним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пункті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678E7894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6.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розглядає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атестуються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за потреби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перевіряє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їхню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достовірність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встановлює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дотримання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вимог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пунктів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8, 9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а також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оцінює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компетентності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урахуванням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посадових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обов’язків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вимог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стандарту (за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наявності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5FB4B376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належного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оцінювання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професійних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компетентностей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прийняти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вивчення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практичного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досвіду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У такому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випадку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визначити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lastRenderedPageBreak/>
        <w:t>членів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членів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аналізуватимуть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практичний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досвід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а також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затвердити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графік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заходів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2558CB6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результати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приймаються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атестаційними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1703E99A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–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пізніше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01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квітня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0C25775D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II – III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–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пізніше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25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квітня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1460EA07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7.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тимчасової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непрацездатності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настання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інших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обставин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залежать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волі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перешкоджають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проходженню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ним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окремих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бути перенесено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припинення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таких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обставин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але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більше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один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У такому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випадку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зберігається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раніше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проходження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ним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 порядку</w:t>
      </w:r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визначеному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64FECDB5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8.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запросити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своє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виникнення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питань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зокрема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пов’язаних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поданими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ним документами.</w:t>
      </w:r>
    </w:p>
    <w:p w14:paraId="1E267751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Запрошення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підписує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голова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пізніше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п’яти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робочих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дня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вручається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секретарем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працівникові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підпис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надсилається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сканованому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вигляді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 адресу</w:t>
      </w:r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електронної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пошти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наявності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Запрошення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III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надсилається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також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електронну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адресу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структурного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сканованому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вигляді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44BC1ABE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9.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бути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присутнім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час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розгляду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питань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стосуються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в тому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числі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режимі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відеоконференцзв’язку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неявки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запрошеного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установленому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порядку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наявності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обставин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визначених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пункті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7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проводить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відсутності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7F5ACD53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Представники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можуть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представляти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інтереси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засіданнях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письмовою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довіреністю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договором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доручення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оформленими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вимог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законодавства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а особа такого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представника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бути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встановлена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секретарем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згідно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документом,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посвідчує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особу.</w:t>
      </w:r>
    </w:p>
    <w:p w14:paraId="5983F558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10.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оформлюються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протоколом за формою,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наведеною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додатку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2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668051D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11.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підставі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секретар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оформляє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лист за формою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згідно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Додатком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3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фіксується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результат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4F9902B3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випадку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одночасної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(в межах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однієї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процедури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двох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і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більше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навчальних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предметів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інтегрованих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курсів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дисциплін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ним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викладаються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видається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один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лист,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містити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інформацію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результати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кожним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із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таких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навчальних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предметів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інтегрованих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курсів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дисциплін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3C096CB6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лист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оформляється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двох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примірниках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підписують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голова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головуючий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секретар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Перший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примірник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листа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упродовж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трьох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робочих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прийняття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видається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підпис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надсилається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сканованому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вигляді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електронну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адресу (з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другий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додається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особової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справи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09C5A3B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власної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ініціативи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особисто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отримати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свій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примірник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листа у секретаря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підпис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193E7AA7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заявою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оригінал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листа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бути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відправлено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поштою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повідомленням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вручення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CF41DC1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12.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результати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доводиться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відома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шляхом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листа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надсилання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електронну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адресу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сканованому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вигляді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 порядку</w:t>
      </w:r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строки,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визначені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пункті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11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C263ABA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II, III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результати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пізніше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ніж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через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сім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робочих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прийняття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доводиться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відома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структурного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місцем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шляхом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надсилання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витягу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протоколу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засідання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листа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електронну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адресу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структурного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сканованому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вигляді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а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відсутності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поштовим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відправленням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із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повідомленням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вручення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1A79B3B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13.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Другі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примірники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листів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зберігаються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Переліку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типових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створюються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час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діяльності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державних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органів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органів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місцевого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самоврядування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інших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установ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підприємств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організацій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із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зазначенням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строків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зберігання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затвердженого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наказом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Міністерства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юстиції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12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квітня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2012 року № 578/5,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зареєстрованого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Міністерстві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юстиції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України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17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квітня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2012 року за № 571/20884.</w:t>
      </w:r>
    </w:p>
    <w:p w14:paraId="05FAFFFA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листи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копії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підвищення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зберігаються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особовій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справі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93ACF9F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14.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є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підставою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пізніше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трьох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робочих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дня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отриманім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зазначених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пункті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12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наказу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відокремленого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структурного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підрозділу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повинні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бути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ознайомлені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наказом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упродовж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трьох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робочих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із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підпис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03BCA46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Наказ за результатами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упродовж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трьох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робочих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із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дня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прийняття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бути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бухгалтерії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де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працює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централізованої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бухгалтерії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здійснює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бухгалтерський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облік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lastRenderedPageBreak/>
        <w:t>відповідного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нарахування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заробітної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плати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перерахунку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Оплата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урахуванням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результатів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проводиться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наказу за результатами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0CBAC29" w14:textId="77777777" w:rsidR="0002544A" w:rsidRPr="0002544A" w:rsidRDefault="0002544A" w:rsidP="0002544A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 xml:space="preserve">IV.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>Оскарження</w:t>
      </w:r>
      <w:proofErr w:type="spellEnd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>рішень</w:t>
      </w:r>
      <w:proofErr w:type="spellEnd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>атестаційних</w:t>
      </w:r>
      <w:proofErr w:type="spellEnd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212121"/>
          <w:kern w:val="0"/>
          <w:sz w:val="37"/>
          <w:szCs w:val="37"/>
          <w:lang w:eastAsia="ru-RU"/>
          <w14:ligatures w14:val="none"/>
        </w:rPr>
        <w:t>комісій</w:t>
      </w:r>
      <w:proofErr w:type="spellEnd"/>
    </w:p>
    <w:p w14:paraId="2098545F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1.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незгоди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II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він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право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оскаржити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таке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шляхом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апеляції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вищого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упродовж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семи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робочих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листа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особисто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електронну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адресу).</w:t>
      </w:r>
    </w:p>
    <w:p w14:paraId="0EE99230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Апеляція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шляхом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направлення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апеляційної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заяви,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оформленої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згідно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додатком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4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199F9F7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апеляційної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заяви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додаються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копія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листа, виданого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комісією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оскаржується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копії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подавалися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оскаржується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їхнього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7B17559A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3.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Апеляційна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заява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додатками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паперовій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електронній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формі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визначену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комісією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адресу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електронної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пошти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сканованому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вигляді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(формат PDF,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кожен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документ –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окремим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файлом).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Документи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реєструються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зберігаються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секретарем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493BE779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4.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розглянути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апеляційну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заяву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прийняти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протягом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15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робочих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її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надходження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час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розгляду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апеляційної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заяви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не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брати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участь особа, яка брала участь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прийнятті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оскаржується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1A2BEC32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результатами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розгляду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апеляції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про:</w:t>
      </w:r>
    </w:p>
    <w:p w14:paraId="2210E879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1)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відповідність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займаній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посаді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раніше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скасування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нижчого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7DB3272C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2)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наступної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та/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скасування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нижчого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;</w:t>
      </w:r>
    </w:p>
    <w:p w14:paraId="5CF2AC2F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3)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залишення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нижчого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без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змін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апеляцію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без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задоволення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64C461CF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5.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результати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розгляду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апеляції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оформлюється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протоколом,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підписують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голова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секретар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Витяг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протоколу, оформлений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згідно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додатком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5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цього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Положення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протягом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трьох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робочих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прийняття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надсилається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та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електронною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поштою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сканованому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вигляді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), а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відсутності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адреси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електронної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пошти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поштовим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відправленням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повідомленням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вручення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CE94120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lastRenderedPageBreak/>
        <w:t>Керівник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упродовж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трьох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робочих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днів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отримання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витягу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протоколу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результати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розгляду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апеляції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за результатами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працівникові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було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підтверджено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видати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наказ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ознайомити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ним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підпис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7B745D49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Наказ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керівника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бути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бухгалтерії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чи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централізованої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бухгалтерії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здійснює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бухгалтерський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облік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закладу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нарахування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заробітної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плати та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проведення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перерахунку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дати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прийняття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комісією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наступної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категорії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присвоєння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A2BB29B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6.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незгоди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вищого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щодо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розгляду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апеляційної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заяви,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він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право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оскаржити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таке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 суду</w:t>
      </w:r>
      <w:proofErr w:type="gram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установленому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законодавством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порядку.</w:t>
      </w:r>
    </w:p>
    <w:p w14:paraId="396FAC2A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7.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Рішення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атестаційної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бути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підставою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звільнення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педагогічного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роботи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встановленому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законодавством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порядку. Наказ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звільнення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переведення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згодою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іншу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роботу за результатами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видається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лише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після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розгляду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апеляції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(у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подання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)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атестаційними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комісіями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вищого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рівня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дотриманням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законодавства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про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C2CA885" w14:textId="77777777" w:rsidR="0002544A" w:rsidRPr="0002544A" w:rsidRDefault="0002544A" w:rsidP="0002544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Розірвання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трудового договору за таких умов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допускається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разі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якщо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неможливо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перевести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працівника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згодою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іншу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роботу, яка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відповідає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його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кваліфікації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, у тому самому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закладі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освіти</w:t>
      </w:r>
      <w:proofErr w:type="spellEnd"/>
      <w:r w:rsidRPr="0002544A"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849A0F4" w14:textId="77777777" w:rsidR="0002544A" w:rsidRPr="0002544A" w:rsidRDefault="0002544A" w:rsidP="0002544A">
      <w:pPr>
        <w:shd w:val="clear" w:color="auto" w:fill="FFFFFF"/>
        <w:spacing w:after="0" w:line="240" w:lineRule="auto"/>
        <w:jc w:val="right"/>
        <w:textAlignment w:val="baseline"/>
        <w:rPr>
          <w:rFonts w:ascii="Helvetica" w:eastAsia="Times New Roman" w:hAnsi="Helvetica" w:cs="Helvetica"/>
          <w:color w:val="333333"/>
          <w:kern w:val="0"/>
          <w:sz w:val="24"/>
          <w:szCs w:val="24"/>
          <w:lang w:eastAsia="ru-RU"/>
          <w14:ligatures w14:val="none"/>
        </w:rPr>
      </w:pP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Генеральний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директор директорату</w:t>
      </w:r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дошкільної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шкільної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позашкільної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  <w:t xml:space="preserve">та </w:t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інклюзивної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освіти</w:t>
      </w:r>
      <w:proofErr w:type="spellEnd"/>
      <w:r w:rsidRPr="0002544A">
        <w:rPr>
          <w:rFonts w:ascii="inherit" w:eastAsia="Times New Roman" w:hAnsi="inherit" w:cs="Helvetica"/>
          <w:b/>
          <w:bCs/>
          <w:i/>
          <w:iCs/>
          <w:color w:val="3333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  <w:t>Олег ЄРЕСЬКО</w:t>
      </w:r>
    </w:p>
    <w:p w14:paraId="74F233DC" w14:textId="77777777" w:rsidR="00B124BA" w:rsidRDefault="00B124BA"/>
    <w:sectPr w:rsidR="00B1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4A"/>
    <w:rsid w:val="0002544A"/>
    <w:rsid w:val="003B30DB"/>
    <w:rsid w:val="00B1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F8CE"/>
  <w15:chartTrackingRefBased/>
  <w15:docId w15:val="{B7ACC5A4-1188-43F0-A6F9-1F5E6E07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5896</Words>
  <Characters>33612</Characters>
  <Application>Microsoft Office Word</Application>
  <DocSecurity>0</DocSecurity>
  <Lines>280</Lines>
  <Paragraphs>78</Paragraphs>
  <ScaleCrop>false</ScaleCrop>
  <Company/>
  <LinksUpToDate>false</LinksUpToDate>
  <CharactersWithSpaces>39430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Bryzhata</dc:creator>
  <cp:keywords/>
  <dc:description/>
  <cp:lastModifiedBy>Svitlana Bryzhata</cp:lastModifiedBy>
  <cp:revision>1</cp:revision>
  <dcterms:created xsi:type="dcterms:W3CDTF">2024-10-11T12:12:00Z</dcterms:created>
  <dcterms:modified xsi:type="dcterms:W3CDTF">2024-10-11T12:13:00Z</dcterms:modified>
</cp:coreProperties>
</file>